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13120F" w:rsidRPr="0013120F" w:rsidTr="0013120F">
        <w:trPr>
          <w:tblCellSpacing w:w="0" w:type="dxa"/>
          <w:jc w:val="center"/>
        </w:trPr>
        <w:tc>
          <w:tcPr>
            <w:tcW w:w="5000" w:type="pct"/>
            <w:hideMark/>
          </w:tcPr>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FF0000"/>
                <w:kern w:val="0"/>
                <w:sz w:val="72"/>
                <w:szCs w:val="72"/>
              </w:rPr>
              <w:t>徐州工程学院文件</w:t>
            </w:r>
          </w:p>
        </w:tc>
      </w:tr>
      <w:tr w:rsidR="0013120F" w:rsidRPr="0013120F" w:rsidTr="0013120F">
        <w:trPr>
          <w:trHeight w:val="600"/>
          <w:tblCellSpacing w:w="0" w:type="dxa"/>
          <w:jc w:val="center"/>
        </w:trPr>
        <w:tc>
          <w:tcPr>
            <w:tcW w:w="5000" w:type="pct"/>
            <w:vAlign w:val="center"/>
            <w:hideMark/>
          </w:tcPr>
          <w:p w:rsidR="0013120F" w:rsidRPr="0013120F" w:rsidRDefault="0013120F" w:rsidP="0013120F">
            <w:pPr>
              <w:widowControl/>
              <w:spacing w:beforeAutospacing="1" w:afterAutospacing="1"/>
              <w:jc w:val="center"/>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徐工院教发〔2019〕31号</w:t>
            </w:r>
          </w:p>
        </w:tc>
      </w:tr>
      <w:tr w:rsidR="0013120F" w:rsidRPr="0013120F" w:rsidTr="0013120F">
        <w:trPr>
          <w:tblCellSpacing w:w="0" w:type="dxa"/>
          <w:jc w:val="center"/>
        </w:trPr>
        <w:tc>
          <w:tcPr>
            <w:tcW w:w="5000" w:type="pct"/>
            <w:hideMark/>
          </w:tcPr>
          <w:p w:rsidR="0013120F" w:rsidRPr="0013120F" w:rsidRDefault="0013120F" w:rsidP="0013120F">
            <w:pPr>
              <w:widowControl/>
              <w:jc w:val="left"/>
              <w:rPr>
                <w:rFonts w:ascii="宋体" w:eastAsia="宋体" w:hAnsi="宋体" w:cs="宋体"/>
                <w:color w:val="2A2F35"/>
                <w:kern w:val="0"/>
                <w:sz w:val="24"/>
                <w:szCs w:val="24"/>
              </w:rPr>
            </w:pPr>
            <w:r w:rsidRPr="0013120F">
              <w:rPr>
                <w:rFonts w:ascii="宋体" w:eastAsia="宋体" w:hAnsi="宋体" w:cs="宋体"/>
                <w:color w:val="2A2F35"/>
                <w:kern w:val="0"/>
                <w:sz w:val="24"/>
                <w:szCs w:val="24"/>
              </w:rPr>
              <w:pict>
                <v:rect id="_x0000_i1025" style="width:415.3pt;height:3pt" o:hrstd="t" o:hrnoshade="t" o:hr="t" fillcolor="red" stroked="f"/>
              </w:pict>
            </w:r>
          </w:p>
        </w:tc>
      </w:tr>
      <w:tr w:rsidR="0013120F" w:rsidRPr="0013120F" w:rsidTr="0013120F">
        <w:trPr>
          <w:trHeight w:val="600"/>
          <w:tblCellSpacing w:w="0" w:type="dxa"/>
          <w:jc w:val="center"/>
        </w:trPr>
        <w:tc>
          <w:tcPr>
            <w:tcW w:w="5000" w:type="pct"/>
            <w:vAlign w:val="center"/>
            <w:hideMark/>
          </w:tcPr>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36"/>
                <w:szCs w:val="36"/>
              </w:rPr>
              <w:t>徐州工程学院创新创业实践学分认定与管理办法（试行）</w:t>
            </w:r>
          </w:p>
        </w:tc>
      </w:tr>
      <w:tr w:rsidR="0013120F" w:rsidRPr="0013120F" w:rsidTr="0013120F">
        <w:trPr>
          <w:trHeight w:val="4500"/>
          <w:tblCellSpacing w:w="0" w:type="dxa"/>
          <w:jc w:val="center"/>
        </w:trPr>
        <w:tc>
          <w:tcPr>
            <w:tcW w:w="5000" w:type="pct"/>
            <w:hideMark/>
          </w:tcPr>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27"/>
                <w:szCs w:val="27"/>
              </w:rPr>
              <w:t>第一章 总则</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第一条 为强化学生创新意识、创业能力以及综合素质培养，鼓励学生积极参加科学研究、创造发明、学科竞赛、创业实践等活动，特结合学校实际，制定本办法。</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第二条 创新创业实践学分是指学生在校期间依据本办法规定参与相关创新创业实践活动并取得相应成果后获得的学分。</w:t>
            </w:r>
          </w:p>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27"/>
                <w:szCs w:val="27"/>
              </w:rPr>
              <w:t>第二章 认定范围</w:t>
            </w:r>
            <w:bookmarkStart w:id="0" w:name="_GoBack"/>
            <w:bookmarkEnd w:id="0"/>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第三条 创新创业项目。学生参加各级各类大学生创新创业训练计划项目、大学生创新创业基金项目，并通过结项验收。</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第四条 学科竞赛。学生参加学校认可的各类学科竞赛和创业大赛，获得相应成绩及奖项。</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第五条 科研成果。学生以徐州工程学院为第一完成单位，在国内外正式出版的刊物发表学术论文；以徐州工程学院为第一专利权人获得专利、计算机软件著作权等。</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第六条 技能认证。学生参加各类职业技能培训，获得执业、从业资格证书；参加各类等级考试，获得相应等级证书或达到一定成绩分数；参加相应专业技能培训，获得相应技能证书或成绩证明。</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第七条 文体活动。学生参加校级以上的文化（演讲、辩论、音乐、书法、摄影等）和体育比赛活动，并取得一定成绩。</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第八条 学术交流。学生参加国内外学术会议或学术交流活动，在学术会议上做大会报告、做墙报展示或学术论文被收入论文集；参加校级以上学术会议或学术交流活动，并提交后续</w:t>
            </w:r>
            <w:r w:rsidRPr="0013120F">
              <w:rPr>
                <w:rFonts w:ascii="宋体" w:eastAsia="宋体" w:hAnsi="宋体" w:cs="宋体" w:hint="eastAsia"/>
                <w:color w:val="2A2F35"/>
                <w:kern w:val="0"/>
                <w:sz w:val="27"/>
                <w:szCs w:val="27"/>
              </w:rPr>
              <w:lastRenderedPageBreak/>
              <w:t>研学材料(如2000字以上的读书报告、评论等)。</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第九条 社会实践。学生应征入伍并光荣退役；参加由学校组织的青年志愿者活动、各类公益和社团活动等。</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第十条 创业实践。学生积极参加各级各类创业沙龙、培训、实训、论坛、讲座等实践活动并获得相关证明；学生在校学习或休学期间自主创建公司，完成公司登记注册并顺利运营。</w:t>
            </w:r>
            <w:r w:rsidRPr="0013120F">
              <w:rPr>
                <w:rFonts w:ascii="宋体" w:eastAsia="宋体" w:hAnsi="宋体" w:cs="宋体" w:hint="eastAsia"/>
                <w:color w:val="2A2F35"/>
                <w:kern w:val="0"/>
                <w:sz w:val="27"/>
                <w:szCs w:val="27"/>
              </w:rPr>
              <w:br/>
              <w:t>第十一条 其他经学校审核认可的创新创业实践活动。</w:t>
            </w:r>
          </w:p>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27"/>
                <w:szCs w:val="27"/>
              </w:rPr>
              <w:t>第三章 组织机构</w:t>
            </w:r>
          </w:p>
          <w:p w:rsidR="0013120F" w:rsidRPr="0013120F" w:rsidRDefault="0013120F" w:rsidP="0013120F">
            <w:pPr>
              <w:widowControl/>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 xml:space="preserve">第十二条 </w:t>
            </w:r>
            <w:r w:rsidRPr="0013120F">
              <w:rPr>
                <w:rFonts w:ascii="宋体" w:eastAsia="宋体" w:hAnsi="宋体" w:cs="宋体" w:hint="eastAsia"/>
                <w:color w:val="000000"/>
                <w:kern w:val="0"/>
                <w:sz w:val="27"/>
                <w:szCs w:val="27"/>
              </w:rPr>
              <w:t>学校成立学生创新创业实践学分认定工作领导小组，由分管教学工作的校领导任组长，成员包括教务处、创新创业学院、科研处、学工处、团委等部门负责人以及各学院分管创新创业实践工作的负责人。领导小组主要负责方案制定、学分认定终审、评估检查、争议仲裁等工作。领导小组下设办公室，办公室设在</w:t>
            </w:r>
            <w:r w:rsidRPr="0013120F">
              <w:rPr>
                <w:rFonts w:ascii="宋体" w:eastAsia="宋体" w:hAnsi="宋体" w:cs="宋体" w:hint="eastAsia"/>
                <w:color w:val="2A2F35"/>
                <w:kern w:val="0"/>
                <w:sz w:val="27"/>
                <w:szCs w:val="27"/>
              </w:rPr>
              <w:t>教务处。</w:t>
            </w:r>
          </w:p>
          <w:p w:rsidR="0013120F" w:rsidRPr="0013120F" w:rsidRDefault="0013120F" w:rsidP="0013120F">
            <w:pPr>
              <w:widowControl/>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第十三条 各学院成立创新创业实践学分认定工作小组，负责本学院创新创业实践活动开展、学分认定等工作，组长由分管创新创业实践工作的院领导担任。</w:t>
            </w:r>
          </w:p>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27"/>
                <w:szCs w:val="27"/>
              </w:rPr>
              <w:t>第四章 认定程序</w:t>
            </w:r>
          </w:p>
          <w:p w:rsidR="0013120F" w:rsidRPr="0013120F" w:rsidRDefault="0013120F" w:rsidP="0013120F">
            <w:pPr>
              <w:widowControl/>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第十四条 学生申请。学生填写《徐州工程学院创新创业实践学分申请表》，并附相关证明材料，提交所在学院。</w:t>
            </w:r>
          </w:p>
          <w:p w:rsidR="0013120F" w:rsidRPr="0013120F" w:rsidRDefault="0013120F" w:rsidP="0013120F">
            <w:pPr>
              <w:widowControl/>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第十五条 学院认定。学院根据认定范围对学生提交的材料进行审核，根据本办法对学生的创新创业实践学分进行认定，经公示后报送教务处。</w:t>
            </w:r>
          </w:p>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27"/>
                <w:szCs w:val="27"/>
              </w:rPr>
              <w:t>第五章 学分记载与管理</w:t>
            </w:r>
          </w:p>
          <w:p w:rsidR="0013120F" w:rsidRPr="0013120F" w:rsidRDefault="0013120F" w:rsidP="0013120F">
            <w:pPr>
              <w:widowControl/>
              <w:ind w:firstLine="640"/>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第十六条 学校每年4月份集中对二年级以上学生创新创业实践学分进行审核认定。</w:t>
            </w:r>
          </w:p>
          <w:p w:rsidR="0013120F" w:rsidRPr="0013120F" w:rsidRDefault="0013120F" w:rsidP="0013120F">
            <w:pPr>
              <w:widowControl/>
              <w:ind w:firstLine="640"/>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第十七条 学院应建立学生创新创业实践学分个人档案，并及时向学生反馈认定结果。</w:t>
            </w:r>
          </w:p>
          <w:p w:rsidR="0013120F" w:rsidRPr="0013120F" w:rsidRDefault="0013120F" w:rsidP="0013120F">
            <w:pPr>
              <w:widowControl/>
              <w:ind w:firstLine="640"/>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第十八条 创新创业实践学分不足４学分的学生不能毕业，超出部分可以置换选修课程</w:t>
            </w:r>
            <w:r w:rsidRPr="0013120F">
              <w:rPr>
                <w:rFonts w:ascii="宋体" w:eastAsia="宋体" w:hAnsi="宋体" w:cs="宋体" w:hint="eastAsia"/>
                <w:color w:val="2A2F35"/>
                <w:kern w:val="0"/>
                <w:sz w:val="27"/>
                <w:szCs w:val="27"/>
              </w:rPr>
              <w:lastRenderedPageBreak/>
              <w:t>学分，最多置换6学分。</w:t>
            </w:r>
          </w:p>
          <w:p w:rsidR="0013120F" w:rsidRPr="0013120F" w:rsidRDefault="0013120F" w:rsidP="0013120F">
            <w:pPr>
              <w:widowControl/>
              <w:ind w:firstLineChars="200" w:firstLine="540"/>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第十九条 学生在校学习期间，每项成果只可申请认定一次；同一项目再次获得更高级别奖励，以补差的方式认定学分。</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第二十条 在创新创业实践学分申报和认定过程中弄虚作假者，取消学生已获得的创新创业实践学分，并依据有关规定对相关人员进行处理。</w:t>
            </w:r>
          </w:p>
          <w:p w:rsidR="0013120F" w:rsidRPr="0013120F" w:rsidRDefault="0013120F" w:rsidP="0013120F">
            <w:pPr>
              <w:widowControl/>
              <w:jc w:val="center"/>
              <w:rPr>
                <w:rFonts w:ascii="宋体" w:eastAsia="宋体" w:hAnsi="宋体" w:cs="宋体"/>
                <w:color w:val="2A2F35"/>
                <w:kern w:val="0"/>
                <w:sz w:val="24"/>
                <w:szCs w:val="24"/>
              </w:rPr>
            </w:pPr>
            <w:r w:rsidRPr="0013120F">
              <w:rPr>
                <w:rFonts w:ascii="宋体" w:eastAsia="宋体" w:hAnsi="宋体" w:cs="宋体" w:hint="eastAsia"/>
                <w:b/>
                <w:bCs/>
                <w:color w:val="2A2F35"/>
                <w:kern w:val="0"/>
                <w:sz w:val="27"/>
                <w:szCs w:val="27"/>
              </w:rPr>
              <w:t>第六章 附则</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 xml:space="preserve">第二十一条 </w:t>
            </w:r>
            <w:r w:rsidRPr="0013120F">
              <w:rPr>
                <w:rFonts w:ascii="宋体" w:eastAsia="宋体" w:hAnsi="宋体" w:cs="宋体" w:hint="eastAsia"/>
                <w:color w:val="000000"/>
                <w:kern w:val="0"/>
                <w:sz w:val="27"/>
                <w:szCs w:val="27"/>
              </w:rPr>
              <w:t>本办法自2019级学生开始执行，与学校其他文件产生冲突的</w:t>
            </w:r>
            <w:r w:rsidRPr="0013120F">
              <w:rPr>
                <w:rFonts w:ascii="宋体" w:eastAsia="宋体" w:hAnsi="宋体" w:cs="宋体" w:hint="eastAsia"/>
                <w:color w:val="2A2F35"/>
                <w:kern w:val="0"/>
                <w:sz w:val="27"/>
                <w:szCs w:val="27"/>
              </w:rPr>
              <w:t>以本办法为准。</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第二十二条</w:t>
            </w:r>
            <w:r w:rsidRPr="0013120F">
              <w:rPr>
                <w:rFonts w:ascii="宋体" w:eastAsia="宋体" w:hAnsi="宋体" w:cs="宋体" w:hint="eastAsia"/>
                <w:color w:val="000000"/>
                <w:kern w:val="0"/>
                <w:sz w:val="27"/>
                <w:szCs w:val="27"/>
              </w:rPr>
              <w:t xml:space="preserve"> 本办法由教务处负责解释。</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000000"/>
                <w:kern w:val="0"/>
                <w:sz w:val="27"/>
                <w:szCs w:val="27"/>
              </w:rPr>
              <w:t>附件: 徐州工程学院创新创业实践学分设置标准</w:t>
            </w:r>
          </w:p>
          <w:p w:rsidR="0013120F" w:rsidRPr="0013120F" w:rsidRDefault="0013120F" w:rsidP="0013120F">
            <w:pPr>
              <w:widowControl/>
              <w:ind w:firstLineChars="1750" w:firstLine="4725"/>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徐州工程学院</w:t>
            </w:r>
          </w:p>
          <w:p w:rsidR="0013120F" w:rsidRPr="0013120F" w:rsidRDefault="0013120F" w:rsidP="0013120F">
            <w:pPr>
              <w:widowControl/>
              <w:ind w:firstLineChars="200" w:firstLine="540"/>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2019年10月15日</w:t>
            </w:r>
          </w:p>
        </w:tc>
      </w:tr>
      <w:tr w:rsidR="0013120F" w:rsidRPr="0013120F" w:rsidTr="0013120F">
        <w:trPr>
          <w:trHeight w:val="750"/>
          <w:tblCellSpacing w:w="0" w:type="dxa"/>
          <w:jc w:val="center"/>
        </w:trPr>
        <w:tc>
          <w:tcPr>
            <w:tcW w:w="5000" w:type="pct"/>
            <w:vAlign w:val="center"/>
            <w:hideMark/>
          </w:tcPr>
          <w:tbl>
            <w:tblPr>
              <w:tblW w:w="10800" w:type="dxa"/>
              <w:tblCellSpacing w:w="7" w:type="dxa"/>
              <w:tblCellMar>
                <w:top w:w="15" w:type="dxa"/>
                <w:left w:w="15" w:type="dxa"/>
                <w:bottom w:w="15" w:type="dxa"/>
                <w:right w:w="15" w:type="dxa"/>
              </w:tblCellMar>
              <w:tblLook w:val="04A0" w:firstRow="1" w:lastRow="0" w:firstColumn="1" w:lastColumn="0" w:noHBand="0" w:noVBand="1"/>
            </w:tblPr>
            <w:tblGrid>
              <w:gridCol w:w="5400"/>
              <w:gridCol w:w="5400"/>
            </w:tblGrid>
            <w:tr w:rsidR="0013120F" w:rsidRPr="0013120F">
              <w:trPr>
                <w:tblCellSpacing w:w="7" w:type="dxa"/>
              </w:trPr>
              <w:tc>
                <w:tcPr>
                  <w:tcW w:w="3750" w:type="dxa"/>
                  <w:vAlign w:val="center"/>
                  <w:hideMark/>
                </w:tcPr>
                <w:p w:rsidR="0013120F" w:rsidRPr="0013120F" w:rsidRDefault="0013120F" w:rsidP="0013120F">
                  <w:pPr>
                    <w:widowControl/>
                    <w:jc w:val="lef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lastRenderedPageBreak/>
                    <w:t>徐州工程学院院长办公室</w:t>
                  </w:r>
                </w:p>
              </w:tc>
              <w:tc>
                <w:tcPr>
                  <w:tcW w:w="3750" w:type="dxa"/>
                  <w:vAlign w:val="center"/>
                  <w:hideMark/>
                </w:tcPr>
                <w:p w:rsidR="0013120F" w:rsidRPr="0013120F" w:rsidRDefault="0013120F" w:rsidP="0013120F">
                  <w:pPr>
                    <w:widowControl/>
                    <w:jc w:val="right"/>
                    <w:rPr>
                      <w:rFonts w:ascii="宋体" w:eastAsia="宋体" w:hAnsi="宋体" w:cs="宋体"/>
                      <w:color w:val="2A2F35"/>
                      <w:kern w:val="0"/>
                      <w:sz w:val="24"/>
                      <w:szCs w:val="24"/>
                    </w:rPr>
                  </w:pPr>
                  <w:r w:rsidRPr="0013120F">
                    <w:rPr>
                      <w:rFonts w:ascii="宋体" w:eastAsia="宋体" w:hAnsi="宋体" w:cs="宋体" w:hint="eastAsia"/>
                      <w:color w:val="2A2F35"/>
                      <w:kern w:val="0"/>
                      <w:sz w:val="27"/>
                      <w:szCs w:val="27"/>
                    </w:rPr>
                    <w:t>2019年11月18日印发</w:t>
                  </w:r>
                </w:p>
              </w:tc>
            </w:tr>
          </w:tbl>
          <w:p w:rsidR="0013120F" w:rsidRPr="0013120F" w:rsidRDefault="0013120F" w:rsidP="0013120F">
            <w:pPr>
              <w:widowControl/>
              <w:jc w:val="left"/>
              <w:rPr>
                <w:rFonts w:ascii="宋体" w:eastAsia="宋体" w:hAnsi="宋体" w:cs="宋体"/>
                <w:color w:val="2A2F35"/>
                <w:kern w:val="0"/>
                <w:sz w:val="24"/>
                <w:szCs w:val="24"/>
              </w:rPr>
            </w:pPr>
          </w:p>
        </w:tc>
      </w:tr>
    </w:tbl>
    <w:p w:rsidR="003B744F" w:rsidRDefault="003B744F">
      <w:pPr>
        <w:rPr>
          <w:rFonts w:hint="eastAsia"/>
        </w:rPr>
      </w:pPr>
    </w:p>
    <w:sectPr w:rsidR="003B74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AAA"/>
    <w:rsid w:val="0013120F"/>
    <w:rsid w:val="00227AAA"/>
    <w:rsid w:val="003B7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823540">
      <w:bodyDiv w:val="1"/>
      <w:marLeft w:val="0"/>
      <w:marRight w:val="0"/>
      <w:marTop w:val="0"/>
      <w:marBottom w:val="0"/>
      <w:divBdr>
        <w:top w:val="none" w:sz="0" w:space="0" w:color="auto"/>
        <w:left w:val="none" w:sz="0" w:space="0" w:color="auto"/>
        <w:bottom w:val="none" w:sz="0" w:space="0" w:color="auto"/>
        <w:right w:val="none" w:sz="0" w:space="0" w:color="auto"/>
      </w:divBdr>
      <w:divsChild>
        <w:div w:id="477187611">
          <w:marLeft w:val="0"/>
          <w:marRight w:val="0"/>
          <w:marTop w:val="0"/>
          <w:marBottom w:val="0"/>
          <w:divBdr>
            <w:top w:val="none" w:sz="0" w:space="0" w:color="auto"/>
            <w:left w:val="none" w:sz="0" w:space="0" w:color="auto"/>
            <w:bottom w:val="none" w:sz="0" w:space="0" w:color="auto"/>
            <w:right w:val="none" w:sz="0" w:space="0" w:color="auto"/>
          </w:divBdr>
          <w:divsChild>
            <w:div w:id="93524136">
              <w:marLeft w:val="0"/>
              <w:marRight w:val="0"/>
              <w:marTop w:val="0"/>
              <w:marBottom w:val="0"/>
              <w:divBdr>
                <w:top w:val="none" w:sz="0" w:space="0" w:color="auto"/>
                <w:left w:val="none" w:sz="0" w:space="0" w:color="auto"/>
                <w:bottom w:val="none" w:sz="0" w:space="0" w:color="auto"/>
                <w:right w:val="none" w:sz="0" w:space="0" w:color="auto"/>
              </w:divBdr>
              <w:divsChild>
                <w:div w:id="287667228">
                  <w:marLeft w:val="0"/>
                  <w:marRight w:val="0"/>
                  <w:marTop w:val="0"/>
                  <w:marBottom w:val="0"/>
                  <w:divBdr>
                    <w:top w:val="none" w:sz="0" w:space="0" w:color="auto"/>
                    <w:left w:val="none" w:sz="0" w:space="0" w:color="auto"/>
                    <w:bottom w:val="none" w:sz="0" w:space="0" w:color="auto"/>
                    <w:right w:val="none" w:sz="0" w:space="0" w:color="auto"/>
                  </w:divBdr>
                  <w:divsChild>
                    <w:div w:id="692415055">
                      <w:marLeft w:val="0"/>
                      <w:marRight w:val="0"/>
                      <w:marTop w:val="0"/>
                      <w:marBottom w:val="0"/>
                      <w:divBdr>
                        <w:top w:val="none" w:sz="0" w:space="0" w:color="auto"/>
                        <w:left w:val="none" w:sz="0" w:space="0" w:color="auto"/>
                        <w:bottom w:val="none" w:sz="0" w:space="0" w:color="auto"/>
                        <w:right w:val="none" w:sz="0" w:space="0" w:color="auto"/>
                      </w:divBdr>
                      <w:divsChild>
                        <w:div w:id="1957636176">
                          <w:marLeft w:val="0"/>
                          <w:marRight w:val="0"/>
                          <w:marTop w:val="300"/>
                          <w:marBottom w:val="0"/>
                          <w:divBdr>
                            <w:top w:val="none" w:sz="0" w:space="0" w:color="auto"/>
                            <w:left w:val="none" w:sz="0" w:space="0" w:color="auto"/>
                            <w:bottom w:val="none" w:sz="0" w:space="0" w:color="auto"/>
                            <w:right w:val="none" w:sz="0" w:space="0" w:color="auto"/>
                          </w:divBdr>
                          <w:divsChild>
                            <w:div w:id="271593105">
                              <w:marLeft w:val="0"/>
                              <w:marRight w:val="225"/>
                              <w:marTop w:val="0"/>
                              <w:marBottom w:val="300"/>
                              <w:divBdr>
                                <w:top w:val="single" w:sz="6" w:space="0" w:color="E6E6E6"/>
                                <w:left w:val="single" w:sz="6" w:space="0" w:color="E6E6E6"/>
                                <w:bottom w:val="single" w:sz="6" w:space="0" w:color="E6E6E6"/>
                                <w:right w:val="single" w:sz="6" w:space="0" w:color="E6E6E6"/>
                              </w:divBdr>
                              <w:divsChild>
                                <w:div w:id="184491324">
                                  <w:marLeft w:val="0"/>
                                  <w:marRight w:val="0"/>
                                  <w:marTop w:val="0"/>
                                  <w:marBottom w:val="0"/>
                                  <w:divBdr>
                                    <w:top w:val="none" w:sz="0" w:space="0" w:color="auto"/>
                                    <w:left w:val="none" w:sz="0" w:space="0" w:color="auto"/>
                                    <w:bottom w:val="none" w:sz="0" w:space="0" w:color="auto"/>
                                    <w:right w:val="none" w:sz="0" w:space="0" w:color="auto"/>
                                  </w:divBdr>
                                  <w:divsChild>
                                    <w:div w:id="803548677">
                                      <w:marLeft w:val="0"/>
                                      <w:marRight w:val="0"/>
                                      <w:marTop w:val="0"/>
                                      <w:marBottom w:val="0"/>
                                      <w:divBdr>
                                        <w:top w:val="none" w:sz="0" w:space="0" w:color="auto"/>
                                        <w:left w:val="none" w:sz="0" w:space="0" w:color="auto"/>
                                        <w:bottom w:val="none" w:sz="0" w:space="0" w:color="auto"/>
                                        <w:right w:val="none" w:sz="0" w:space="0" w:color="auto"/>
                                      </w:divBdr>
                                      <w:divsChild>
                                        <w:div w:id="933317668">
                                          <w:marLeft w:val="0"/>
                                          <w:marRight w:val="0"/>
                                          <w:marTop w:val="0"/>
                                          <w:marBottom w:val="0"/>
                                          <w:divBdr>
                                            <w:top w:val="none" w:sz="0" w:space="0" w:color="auto"/>
                                            <w:left w:val="none" w:sz="0" w:space="0" w:color="auto"/>
                                            <w:bottom w:val="none" w:sz="0" w:space="0" w:color="auto"/>
                                            <w:right w:val="none" w:sz="0" w:space="0" w:color="auto"/>
                                          </w:divBdr>
                                          <w:divsChild>
                                            <w:div w:id="2049600461">
                                              <w:marLeft w:val="0"/>
                                              <w:marRight w:val="0"/>
                                              <w:marTop w:val="0"/>
                                              <w:marBottom w:val="0"/>
                                              <w:divBdr>
                                                <w:top w:val="none" w:sz="0" w:space="0" w:color="auto"/>
                                                <w:left w:val="none" w:sz="0" w:space="0" w:color="auto"/>
                                                <w:bottom w:val="none" w:sz="0" w:space="0" w:color="auto"/>
                                                <w:right w:val="none" w:sz="0" w:space="0" w:color="auto"/>
                                              </w:divBdr>
                                              <w:divsChild>
                                                <w:div w:id="213392946">
                                                  <w:marLeft w:val="0"/>
                                                  <w:marRight w:val="0"/>
                                                  <w:marTop w:val="0"/>
                                                  <w:marBottom w:val="0"/>
                                                  <w:divBdr>
                                                    <w:top w:val="none" w:sz="0" w:space="0" w:color="auto"/>
                                                    <w:left w:val="none" w:sz="0" w:space="0" w:color="auto"/>
                                                    <w:bottom w:val="none" w:sz="0" w:space="0" w:color="auto"/>
                                                    <w:right w:val="none" w:sz="0" w:space="0" w:color="auto"/>
                                                  </w:divBdr>
                                                  <w:divsChild>
                                                    <w:div w:id="1893224857">
                                                      <w:marLeft w:val="0"/>
                                                      <w:marRight w:val="0"/>
                                                      <w:marTop w:val="0"/>
                                                      <w:marBottom w:val="0"/>
                                                      <w:divBdr>
                                                        <w:top w:val="none" w:sz="0" w:space="0" w:color="auto"/>
                                                        <w:left w:val="none" w:sz="0" w:space="0" w:color="auto"/>
                                                        <w:bottom w:val="none" w:sz="0" w:space="0" w:color="auto"/>
                                                        <w:right w:val="none" w:sz="0" w:space="0" w:color="auto"/>
                                                      </w:divBdr>
                                                      <w:divsChild>
                                                        <w:div w:id="5889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Office Word</Application>
  <DocSecurity>0</DocSecurity>
  <Lines>10</Lines>
  <Paragraphs>3</Paragraphs>
  <ScaleCrop>false</ScaleCrop>
  <Company>xzit</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zhaoqing</dc:creator>
  <cp:keywords/>
  <dc:description/>
  <cp:lastModifiedBy>zhaoqing</cp:lastModifiedBy>
  <cp:revision>3</cp:revision>
  <dcterms:created xsi:type="dcterms:W3CDTF">2019-12-02T00:55:00Z</dcterms:created>
  <dcterms:modified xsi:type="dcterms:W3CDTF">2019-12-02T00:56:00Z</dcterms:modified>
</cp:coreProperties>
</file>